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8C90" w14:textId="77777777" w:rsidR="00802F1D" w:rsidRPr="00A90B8D" w:rsidRDefault="00802F1D" w:rsidP="00802F1D">
      <w:pPr>
        <w:jc w:val="right"/>
        <w:rPr>
          <w:rFonts w:ascii="Sylfaen" w:hAnsi="Sylfaen"/>
          <w:b/>
          <w:i/>
          <w:sz w:val="22"/>
          <w:szCs w:val="22"/>
          <w:u w:val="single"/>
          <w:lang w:val="ka-GE"/>
        </w:rPr>
      </w:pPr>
      <w:r w:rsidRPr="00A90B8D">
        <w:rPr>
          <w:rFonts w:ascii="Sylfaen" w:hAnsi="Sylfaen"/>
          <w:b/>
          <w:i/>
          <w:sz w:val="22"/>
          <w:szCs w:val="22"/>
          <w:u w:val="single"/>
          <w:lang w:val="ka-GE"/>
        </w:rPr>
        <w:t>პროექტი</w:t>
      </w:r>
    </w:p>
    <w:p w14:paraId="3507388B" w14:textId="77777777" w:rsidR="00802F1D" w:rsidRPr="00A90B8D" w:rsidRDefault="00802F1D" w:rsidP="00802F1D">
      <w:pPr>
        <w:jc w:val="center"/>
        <w:rPr>
          <w:rFonts w:ascii="Sylfaen" w:hAnsi="Sylfaen"/>
          <w:sz w:val="22"/>
          <w:szCs w:val="22"/>
          <w:lang w:val="ka-GE"/>
        </w:rPr>
      </w:pPr>
    </w:p>
    <w:p w14:paraId="71110A3B" w14:textId="231D6F4D"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A90B8D">
        <w:rPr>
          <w:rFonts w:ascii="Sylfaen" w:hAnsi="Sylfaen"/>
          <w:b/>
          <w:sz w:val="22"/>
          <w:szCs w:val="22"/>
          <w:lang w:val="ka-GE"/>
        </w:rPr>
        <w:t xml:space="preserve"> და</w:t>
      </w:r>
      <w:r w:rsidRPr="00A90B8D">
        <w:rPr>
          <w:rFonts w:ascii="Sylfaen" w:hAnsi="Sylfaen"/>
          <w:b/>
          <w:sz w:val="22"/>
          <w:szCs w:val="22"/>
          <w:lang w:val="ka-GE"/>
        </w:rPr>
        <w:t xml:space="preserve"> საქართველოს ფინანსთა მინისტრის</w:t>
      </w:r>
    </w:p>
    <w:p w14:paraId="35C25C31"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ერთობლივი ბრძანება N</w:t>
      </w:r>
    </w:p>
    <w:p w14:paraId="7C5786DC"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2020 წლის ...... ქ. თბილისი</w:t>
      </w:r>
    </w:p>
    <w:p w14:paraId="44DD9591" w14:textId="6E069AB9" w:rsidR="00802F1D" w:rsidRPr="00A90B8D" w:rsidRDefault="00FE7EF6" w:rsidP="00802F1D">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AE6BFA" w:rsidRPr="00A90B8D">
        <w:rPr>
          <w:rFonts w:ascii="Sylfaen" w:hAnsi="Sylfaen"/>
          <w:b/>
          <w:sz w:val="22"/>
          <w:szCs w:val="22"/>
          <w:lang w:val="ka-GE"/>
        </w:rPr>
        <w:t xml:space="preserve">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03BFA808" w14:textId="77777777" w:rsidR="00802F1D" w:rsidRPr="00A90B8D" w:rsidRDefault="00802F1D" w:rsidP="00802F1D">
      <w:pPr>
        <w:jc w:val="both"/>
        <w:rPr>
          <w:rFonts w:ascii="Sylfaen" w:hAnsi="Sylfaen"/>
          <w:b/>
          <w:sz w:val="22"/>
          <w:szCs w:val="22"/>
          <w:lang w:val="ka-GE"/>
        </w:rPr>
      </w:pPr>
    </w:p>
    <w:p w14:paraId="2A0B097C" w14:textId="0477AA00" w:rsidR="00910325" w:rsidRPr="00A90B8D" w:rsidRDefault="00910325" w:rsidP="007F651A">
      <w:pPr>
        <w:spacing w:before="120" w:after="120" w:line="276" w:lineRule="auto"/>
        <w:ind w:firstLine="720"/>
        <w:jc w:val="both"/>
        <w:rPr>
          <w:rFonts w:ascii="Sylfaen" w:hAnsi="Sylfaen"/>
          <w:b/>
          <w:sz w:val="22"/>
          <w:szCs w:val="22"/>
          <w:lang w:val="ka-GE"/>
        </w:rPr>
      </w:pPr>
      <w:r w:rsidRPr="00A90B8D">
        <w:rPr>
          <w:rFonts w:ascii="Sylfaen" w:hAnsi="Sylfaen"/>
          <w:b/>
          <w:sz w:val="22"/>
          <w:szCs w:val="22"/>
          <w:lang w:val="ka-GE"/>
        </w:rPr>
        <w:t>მუხლი 1.</w:t>
      </w:r>
    </w:p>
    <w:p w14:paraId="47A36F8E" w14:textId="284D028F" w:rsidR="00093529" w:rsidRPr="00A90B8D" w:rsidRDefault="00802F1D" w:rsidP="007F651A">
      <w:pPr>
        <w:spacing w:before="120" w:after="120" w:line="276" w:lineRule="auto"/>
        <w:ind w:firstLine="720"/>
        <w:jc w:val="both"/>
        <w:rPr>
          <w:rFonts w:ascii="Sylfaen" w:hAnsi="Sylfaen"/>
          <w:sz w:val="22"/>
          <w:szCs w:val="22"/>
          <w:lang w:val="ka-GE"/>
        </w:rPr>
      </w:pPr>
      <w:r w:rsidRPr="00A90B8D">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A90B8D">
        <w:rPr>
          <w:rFonts w:ascii="Sylfaen" w:hAnsi="Sylfaen"/>
          <w:sz w:val="22"/>
          <w:szCs w:val="22"/>
          <w:lang w:val="ka-GE"/>
        </w:rPr>
        <w:t xml:space="preserve">მე-20 მუხლის მე-4 პუნქტის შესაბამისად, შეტანილ იქნეს ცვლილება </w:t>
      </w:r>
      <w:r w:rsidR="00FE7EF6" w:rsidRPr="00A90B8D">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00910325" w:rsidRPr="00A90B8D">
        <w:rPr>
          <w:rFonts w:ascii="Sylfaen" w:hAnsi="Sylfaen"/>
          <w:sz w:val="22"/>
          <w:szCs w:val="22"/>
          <w:lang w:val="ka-GE"/>
        </w:rPr>
        <w:t>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w:t>
      </w:r>
      <w:r w:rsidR="00FE7EF6" w:rsidRPr="00A90B8D">
        <w:rPr>
          <w:rFonts w:ascii="Sylfaen" w:hAnsi="Sylfaen"/>
          <w:sz w:val="22"/>
          <w:szCs w:val="22"/>
          <w:lang w:val="ka-GE"/>
        </w:rPr>
        <w:t>3) და ამ ბრძანებით დამტკიცებული ,,</w:t>
      </w:r>
      <w:r w:rsidR="00417F37" w:rsidRPr="00A90B8D">
        <w:rPr>
          <w:rFonts w:ascii="Sylfaen" w:hAnsi="Sylfaen" w:cs="Sylfaen"/>
          <w:bCs/>
          <w:sz w:val="22"/>
          <w:szCs w:val="22"/>
        </w:rPr>
        <w:t>საერთაშორისო</w:t>
      </w:r>
      <w:r w:rsidR="00417F37" w:rsidRPr="00A90B8D">
        <w:rPr>
          <w:bCs/>
          <w:sz w:val="22"/>
          <w:szCs w:val="22"/>
        </w:rPr>
        <w:t xml:space="preserve"> </w:t>
      </w:r>
      <w:r w:rsidR="00417F37" w:rsidRPr="00A90B8D">
        <w:rPr>
          <w:rFonts w:ascii="Sylfaen" w:hAnsi="Sylfaen" w:cs="Sylfaen"/>
          <w:bCs/>
          <w:sz w:val="22"/>
          <w:szCs w:val="22"/>
        </w:rPr>
        <w:t>სატვირთო</w:t>
      </w:r>
      <w:r w:rsidR="00417F37" w:rsidRPr="00A90B8D">
        <w:rPr>
          <w:bCs/>
          <w:sz w:val="22"/>
          <w:szCs w:val="22"/>
        </w:rPr>
        <w:t xml:space="preserve"> </w:t>
      </w:r>
      <w:r w:rsidR="00417F37" w:rsidRPr="00A90B8D">
        <w:rPr>
          <w:rFonts w:ascii="Sylfaen" w:hAnsi="Sylfaen" w:cs="Sylfaen"/>
          <w:bCs/>
          <w:sz w:val="22"/>
          <w:szCs w:val="22"/>
        </w:rPr>
        <w:t>გადაზიდვების</w:t>
      </w:r>
      <w:r w:rsidR="00417F37" w:rsidRPr="00A90B8D">
        <w:rPr>
          <w:bCs/>
          <w:sz w:val="22"/>
          <w:szCs w:val="22"/>
        </w:rPr>
        <w:t xml:space="preserve"> </w:t>
      </w:r>
      <w:r w:rsidR="00417F37" w:rsidRPr="00A90B8D">
        <w:rPr>
          <w:rFonts w:ascii="Sylfaen" w:hAnsi="Sylfaen" w:cs="Sylfaen"/>
          <w:bCs/>
          <w:sz w:val="22"/>
          <w:szCs w:val="22"/>
        </w:rPr>
        <w:t>განმახორციელებელი</w:t>
      </w:r>
      <w:r w:rsidR="00417F37" w:rsidRPr="00A90B8D">
        <w:rPr>
          <w:bCs/>
          <w:sz w:val="22"/>
          <w:szCs w:val="22"/>
        </w:rPr>
        <w:t xml:space="preserve"> </w:t>
      </w:r>
      <w:r w:rsidR="00417F37" w:rsidRPr="00A90B8D">
        <w:rPr>
          <w:rFonts w:ascii="Sylfaen" w:hAnsi="Sylfaen" w:cs="Sylfaen"/>
          <w:bCs/>
          <w:sz w:val="22"/>
          <w:szCs w:val="22"/>
        </w:rPr>
        <w:t>ავტოსატრანსპორტო</w:t>
      </w:r>
      <w:r w:rsidR="00417F37" w:rsidRPr="00A90B8D">
        <w:rPr>
          <w:bCs/>
          <w:sz w:val="22"/>
          <w:szCs w:val="22"/>
        </w:rPr>
        <w:t xml:space="preserve"> </w:t>
      </w:r>
      <w:r w:rsidR="00417F37" w:rsidRPr="00A90B8D">
        <w:rPr>
          <w:rFonts w:ascii="Sylfaen" w:hAnsi="Sylfaen" w:cs="Sylfaen"/>
          <w:bCs/>
          <w:sz w:val="22"/>
          <w:szCs w:val="22"/>
        </w:rPr>
        <w:t>საშუალებების</w:t>
      </w:r>
      <w:r w:rsidR="00417F37" w:rsidRPr="00A90B8D">
        <w:rPr>
          <w:bCs/>
          <w:sz w:val="22"/>
          <w:szCs w:val="22"/>
        </w:rPr>
        <w:t xml:space="preserve"> </w:t>
      </w:r>
      <w:r w:rsidR="00417F37" w:rsidRPr="00A90B8D">
        <w:rPr>
          <w:rFonts w:ascii="Sylfaen" w:hAnsi="Sylfaen" w:cs="Sylfaen"/>
          <w:bCs/>
          <w:sz w:val="22"/>
          <w:szCs w:val="22"/>
        </w:rPr>
        <w:t>მძღოლების</w:t>
      </w:r>
      <w:r w:rsidR="00417F37" w:rsidRPr="00A90B8D">
        <w:rPr>
          <w:bCs/>
          <w:sz w:val="22"/>
          <w:szCs w:val="22"/>
        </w:rPr>
        <w:t xml:space="preserve"> </w:t>
      </w:r>
      <w:r w:rsidR="00417F37" w:rsidRPr="00A90B8D">
        <w:rPr>
          <w:rFonts w:ascii="Sylfaen" w:hAnsi="Sylfaen" w:cs="Sylfaen"/>
          <w:bCs/>
          <w:sz w:val="22"/>
          <w:szCs w:val="22"/>
        </w:rPr>
        <w:t>ეპიდემიოლოგიური</w:t>
      </w:r>
      <w:r w:rsidR="00417F37" w:rsidRPr="00A90B8D">
        <w:rPr>
          <w:bCs/>
          <w:sz w:val="22"/>
          <w:szCs w:val="22"/>
        </w:rPr>
        <w:t xml:space="preserve"> </w:t>
      </w:r>
      <w:r w:rsidR="00417F37" w:rsidRPr="00A90B8D">
        <w:rPr>
          <w:rFonts w:ascii="Sylfaen" w:hAnsi="Sylfaen" w:cs="Sylfaen"/>
          <w:bCs/>
          <w:sz w:val="22"/>
          <w:szCs w:val="22"/>
        </w:rPr>
        <w:t>კონტროლისა</w:t>
      </w:r>
      <w:r w:rsidR="00417F37" w:rsidRPr="00A90B8D">
        <w:rPr>
          <w:bCs/>
          <w:sz w:val="22"/>
          <w:szCs w:val="22"/>
        </w:rPr>
        <w:t xml:space="preserve"> </w:t>
      </w:r>
      <w:r w:rsidR="00417F37" w:rsidRPr="00A90B8D">
        <w:rPr>
          <w:rFonts w:ascii="Sylfaen" w:hAnsi="Sylfaen" w:cs="Sylfaen"/>
          <w:bCs/>
          <w:sz w:val="22"/>
          <w:szCs w:val="22"/>
        </w:rPr>
        <w:t>და</w:t>
      </w:r>
      <w:r w:rsidR="00417F37" w:rsidRPr="00A90B8D">
        <w:rPr>
          <w:bCs/>
          <w:sz w:val="22"/>
          <w:szCs w:val="22"/>
        </w:rPr>
        <w:t xml:space="preserve"> </w:t>
      </w:r>
      <w:r w:rsidR="00417F37" w:rsidRPr="00A90B8D">
        <w:rPr>
          <w:rFonts w:ascii="Sylfaen" w:hAnsi="Sylfaen" w:cs="Sylfaen"/>
          <w:bCs/>
          <w:sz w:val="22"/>
          <w:szCs w:val="22"/>
        </w:rPr>
        <w:t>კარანტინის</w:t>
      </w:r>
      <w:r w:rsidR="00417F37" w:rsidRPr="00A90B8D">
        <w:rPr>
          <w:bCs/>
          <w:sz w:val="22"/>
          <w:szCs w:val="22"/>
        </w:rPr>
        <w:t xml:space="preserve"> </w:t>
      </w:r>
      <w:r w:rsidR="00417F37" w:rsidRPr="00A90B8D">
        <w:rPr>
          <w:rFonts w:ascii="Sylfaen" w:hAnsi="Sylfaen" w:cs="Sylfaen"/>
          <w:bCs/>
          <w:sz w:val="22"/>
          <w:szCs w:val="22"/>
        </w:rPr>
        <w:t>წესები</w:t>
      </w:r>
      <w:r w:rsidR="00417F37" w:rsidRPr="00A90B8D">
        <w:rPr>
          <w:rFonts w:ascii="Sylfaen" w:hAnsi="Sylfaen" w:cs="Sylfaen"/>
          <w:bCs/>
          <w:sz w:val="22"/>
          <w:szCs w:val="22"/>
          <w:lang w:val="ka-GE"/>
        </w:rPr>
        <w:t>ს</w:t>
      </w:r>
      <w:r w:rsidR="00910325" w:rsidRPr="00A90B8D">
        <w:rPr>
          <w:rFonts w:ascii="Sylfaen" w:hAnsi="Sylfaen"/>
          <w:sz w:val="22"/>
          <w:szCs w:val="22"/>
          <w:lang w:val="ka-GE"/>
        </w:rPr>
        <w:t>“</w:t>
      </w:r>
      <w:r w:rsidR="003158C3" w:rsidRPr="00A90B8D">
        <w:rPr>
          <w:rFonts w:ascii="Sylfaen" w:hAnsi="Sylfaen"/>
          <w:sz w:val="22"/>
          <w:szCs w:val="22"/>
          <w:lang w:val="ka-GE"/>
        </w:rPr>
        <w:t>:</w:t>
      </w:r>
    </w:p>
    <w:p w14:paraId="09BB4C0D" w14:textId="77777777" w:rsidR="00FE7EF6" w:rsidRPr="00A90B8D" w:rsidRDefault="00FE7EF6" w:rsidP="007F651A">
      <w:pPr>
        <w:spacing w:before="120" w:after="120" w:line="276" w:lineRule="auto"/>
        <w:ind w:firstLine="720"/>
        <w:jc w:val="both"/>
        <w:rPr>
          <w:rFonts w:ascii="Sylfaen" w:hAnsi="Sylfaen"/>
          <w:sz w:val="22"/>
          <w:szCs w:val="22"/>
          <w:lang w:val="ka-GE"/>
        </w:rPr>
      </w:pPr>
    </w:p>
    <w:p w14:paraId="6C6A08A6" w14:textId="77777777" w:rsidR="00417F37" w:rsidRPr="00A90B8D" w:rsidRDefault="007F651A" w:rsidP="001A14EC">
      <w:pPr>
        <w:pStyle w:val="ListParagraph"/>
        <w:numPr>
          <w:ilvl w:val="0"/>
          <w:numId w:val="9"/>
        </w:numPr>
        <w:spacing w:before="120" w:after="120" w:line="276" w:lineRule="auto"/>
        <w:jc w:val="both"/>
        <w:rPr>
          <w:rFonts w:ascii="Sylfaen" w:hAnsi="Sylfaen"/>
          <w:b/>
          <w:bCs/>
          <w:sz w:val="22"/>
          <w:szCs w:val="22"/>
          <w:lang w:val="ka-GE"/>
        </w:rPr>
      </w:pPr>
      <w:r w:rsidRPr="00A90B8D">
        <w:rPr>
          <w:rFonts w:ascii="Sylfaen" w:hAnsi="Sylfaen"/>
          <w:b/>
          <w:bCs/>
          <w:sz w:val="22"/>
          <w:szCs w:val="22"/>
          <w:lang w:val="ka-GE"/>
        </w:rPr>
        <w:t>მე-3 მუხლ</w:t>
      </w:r>
      <w:r w:rsidR="001A14EC" w:rsidRPr="00A90B8D">
        <w:rPr>
          <w:rFonts w:ascii="Sylfaen" w:hAnsi="Sylfaen"/>
          <w:b/>
          <w:bCs/>
          <w:sz w:val="22"/>
          <w:szCs w:val="22"/>
          <w:lang w:val="ka-GE"/>
        </w:rPr>
        <w:t>ის</w:t>
      </w:r>
      <w:r w:rsidR="00417F37" w:rsidRPr="00A90B8D">
        <w:rPr>
          <w:rFonts w:ascii="Sylfaen" w:hAnsi="Sylfaen"/>
          <w:b/>
          <w:bCs/>
          <w:sz w:val="22"/>
          <w:szCs w:val="22"/>
          <w:lang w:val="ka-GE"/>
        </w:rPr>
        <w:t>:</w:t>
      </w:r>
    </w:p>
    <w:p w14:paraId="07190653" w14:textId="57C506F4" w:rsidR="007F651A" w:rsidRPr="00A90B8D" w:rsidRDefault="00417F37" w:rsidP="00417F37">
      <w:pPr>
        <w:spacing w:before="120" w:after="120" w:line="276" w:lineRule="auto"/>
        <w:ind w:left="720"/>
        <w:jc w:val="both"/>
        <w:rPr>
          <w:rFonts w:ascii="Sylfaen" w:hAnsi="Sylfaen"/>
          <w:b/>
          <w:bCs/>
          <w:sz w:val="22"/>
          <w:szCs w:val="22"/>
          <w:lang w:val="ka-GE"/>
        </w:rPr>
      </w:pPr>
      <w:r w:rsidRPr="00A90B8D">
        <w:rPr>
          <w:rFonts w:ascii="Sylfaen" w:hAnsi="Sylfaen"/>
          <w:b/>
          <w:sz w:val="22"/>
          <w:szCs w:val="22"/>
          <w:lang w:val="ka-GE"/>
        </w:rPr>
        <w:t>ა)</w:t>
      </w:r>
      <w:r w:rsidR="007F651A" w:rsidRPr="00A90B8D">
        <w:rPr>
          <w:rFonts w:ascii="Sylfaen" w:hAnsi="Sylfaen"/>
          <w:b/>
          <w:sz w:val="22"/>
          <w:szCs w:val="22"/>
          <w:lang w:val="ka-GE"/>
        </w:rPr>
        <w:t xml:space="preserve"> მე-</w:t>
      </w:r>
      <w:r w:rsidR="00C2161F" w:rsidRPr="00A90B8D">
        <w:rPr>
          <w:rFonts w:ascii="Sylfaen" w:hAnsi="Sylfaen"/>
          <w:b/>
          <w:sz w:val="22"/>
          <w:szCs w:val="22"/>
          <w:lang w:val="ka-GE"/>
        </w:rPr>
        <w:t>5</w:t>
      </w:r>
      <w:r w:rsidR="007F651A" w:rsidRPr="00A90B8D">
        <w:rPr>
          <w:rFonts w:ascii="Sylfaen" w:hAnsi="Sylfaen"/>
          <w:b/>
          <w:sz w:val="22"/>
          <w:szCs w:val="22"/>
          <w:lang w:val="ka-GE"/>
        </w:rPr>
        <w:t xml:space="preserve"> პუნქტი ჩამოყალიბდეს შემდეგი რედაქციი</w:t>
      </w:r>
      <w:r w:rsidR="001A14EC" w:rsidRPr="00A90B8D">
        <w:rPr>
          <w:rFonts w:ascii="Sylfaen" w:hAnsi="Sylfaen"/>
          <w:b/>
          <w:sz w:val="22"/>
          <w:szCs w:val="22"/>
          <w:lang w:val="ka-GE"/>
        </w:rPr>
        <w:t>თ:</w:t>
      </w:r>
    </w:p>
    <w:p w14:paraId="01E655D4" w14:textId="56F8B8EA" w:rsidR="007F651A" w:rsidRPr="00A90B8D" w:rsidRDefault="001A14EC"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w:t>
      </w:r>
      <w:r w:rsidR="007F651A" w:rsidRPr="00A90B8D">
        <w:rPr>
          <w:rFonts w:ascii="Sylfaen" w:hAnsi="Sylfaen" w:cs="Sylfaen"/>
          <w:noProof/>
          <w:sz w:val="22"/>
          <w:szCs w:val="22"/>
        </w:rPr>
        <w:t xml:space="preserve">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საყვარელიძის სახ.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 ტესტირების ჩატარებიდან </w:t>
      </w:r>
      <w:r w:rsidR="007F651A" w:rsidRPr="00A90B8D">
        <w:rPr>
          <w:rFonts w:ascii="Sylfaen" w:hAnsi="Sylfaen" w:cs="Sylfaen"/>
          <w:noProof/>
          <w:sz w:val="22"/>
          <w:szCs w:val="22"/>
          <w:lang w:val="ka-GE"/>
        </w:rPr>
        <w:t xml:space="preserve">არაუგვიანეს 3 (სამი) </w:t>
      </w:r>
      <w:r w:rsidR="007F651A"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r w:rsidR="00417F37" w:rsidRPr="00A90B8D">
        <w:rPr>
          <w:rFonts w:ascii="Sylfaen" w:hAnsi="Sylfaen" w:cs="Sylfaen"/>
          <w:noProof/>
          <w:sz w:val="22"/>
          <w:szCs w:val="22"/>
          <w:lang w:val="ka-GE"/>
        </w:rPr>
        <w:t>‘‘;</w:t>
      </w:r>
    </w:p>
    <w:p w14:paraId="1EDAC9BE" w14:textId="4A7A449B" w:rsidR="00417F37" w:rsidRPr="00A90B8D" w:rsidRDefault="00417F37"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1724A359" w14:textId="70655586"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r w:rsidRPr="00A90B8D">
        <w:rPr>
          <w:rFonts w:ascii="Sylfaen" w:hAnsi="Sylfaen" w:cs="Sylfaen"/>
          <w:b/>
          <w:noProof/>
          <w:sz w:val="22"/>
          <w:szCs w:val="22"/>
          <w:lang w:val="ka-GE"/>
        </w:rPr>
        <w:t>ბ) მე-8 პუნქტი ჩამოყალიბდეს შემდეგი რედაქციით:</w:t>
      </w:r>
    </w:p>
    <w:p w14:paraId="6CFB89A8" w14:textId="77777777"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1FB62B9F" w14:textId="0BA48AE5" w:rsidR="00C2161F"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lastRenderedPageBreak/>
        <w:tab/>
        <w:t>,,</w:t>
      </w:r>
      <w:r w:rsidRPr="00A90B8D">
        <w:rPr>
          <w:rFonts w:ascii="Sylfaen" w:hAnsi="Sylfaen" w:cs="Sylfaen"/>
          <w:noProof/>
          <w:sz w:val="22"/>
          <w:szCs w:val="22"/>
        </w:rPr>
        <w:t>8. ამ მუხლის 1-ლ და მე-5 პუნქტში მითითებული ინფორმაცია აღირიცხება შესაბამის პროგრამულ მოდულში</w:t>
      </w:r>
      <w:r w:rsidRPr="00A90B8D">
        <w:rPr>
          <w:rFonts w:ascii="Sylfaen" w:hAnsi="Sylfaen" w:cs="Sylfaen"/>
          <w:noProof/>
          <w:sz w:val="22"/>
          <w:szCs w:val="22"/>
          <w:lang w:val="ka-GE"/>
        </w:rPr>
        <w:t xml:space="preserve">, </w:t>
      </w:r>
      <w:r w:rsidRPr="00A90B8D">
        <w:rPr>
          <w:rFonts w:ascii="Sylfaen" w:hAnsi="Sylfaen" w:cs="Sylfaen"/>
          <w:noProof/>
          <w:sz w:val="22"/>
          <w:szCs w:val="22"/>
        </w:rPr>
        <w:t xml:space="preserve">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21D7DA38" w14:textId="70DB4DDD"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284707FB" w14:textId="31B9B768" w:rsidR="001A14EC" w:rsidRPr="00A90B8D" w:rsidRDefault="001A14EC" w:rsidP="001A14E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b/>
          <w:noProof/>
          <w:sz w:val="22"/>
          <w:szCs w:val="22"/>
          <w:lang w:val="ka-GE"/>
        </w:rPr>
        <w:t>მე-4 მუხლი ჩამოყალიბდეს შემდეგი რედაქციით:</w:t>
      </w:r>
    </w:p>
    <w:p w14:paraId="3C412D54" w14:textId="3929E792"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p>
    <w:p w14:paraId="43D97018" w14:textId="15E6AFD4"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ka-GE"/>
        </w:rPr>
      </w:pPr>
      <w:r w:rsidRPr="00A90B8D">
        <w:rPr>
          <w:rFonts w:ascii="Sylfaen" w:hAnsi="Sylfaen" w:cs="Sylfaen"/>
          <w:b/>
          <w:noProof/>
          <w:sz w:val="22"/>
          <w:szCs w:val="22"/>
          <w:lang w:val="ka-GE"/>
        </w:rPr>
        <w:t>,,</w:t>
      </w:r>
      <w:r w:rsidRPr="00A90B8D">
        <w:rPr>
          <w:rFonts w:ascii="Sylfaen" w:hAnsi="Sylfaen" w:cs="Sylfaen"/>
          <w:b/>
          <w:bCs/>
          <w:noProof/>
          <w:sz w:val="22"/>
          <w:szCs w:val="22"/>
        </w:rPr>
        <w:t>მუხლი 4. საქართველოს მოქალაქეობის მქონე მძღოლის დამატებითი ეპიდემიოლოგიური კონტროლი</w:t>
      </w:r>
      <w:r w:rsidRPr="00A90B8D">
        <w:rPr>
          <w:rFonts w:ascii="Sylfaen" w:hAnsi="Sylfaen" w:cs="Sylfaen"/>
          <w:b/>
          <w:bCs/>
          <w:noProof/>
          <w:sz w:val="22"/>
          <w:szCs w:val="22"/>
          <w:lang w:val="ka-GE" w:eastAsia="ka-GE"/>
        </w:rPr>
        <w:t xml:space="preserve"> </w:t>
      </w:r>
    </w:p>
    <w:p w14:paraId="07AE1E84" w14:textId="6CE01ABF"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ka-GE"/>
        </w:rPr>
      </w:pPr>
      <w:r w:rsidRPr="00A90B8D">
        <w:rPr>
          <w:rFonts w:ascii="Sylfaen" w:hAnsi="Sylfaen" w:cs="Sylfaen"/>
          <w:noProof/>
          <w:sz w:val="22"/>
          <w:szCs w:val="22"/>
          <w:lang w:val="ka-GE"/>
        </w:rPr>
        <w:t>1. 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t>
      </w:r>
      <w:r w:rsidRPr="00A90B8D">
        <w:rPr>
          <w:rFonts w:ascii="Sylfaen" w:hAnsi="Sylfaen" w:cs="Sylfaen"/>
          <w:noProof/>
          <w:sz w:val="22"/>
          <w:szCs w:val="22"/>
          <w:lang w:val="ka-GE" w:eastAsia="ka-GE"/>
        </w:rPr>
        <w:t xml:space="preserve"> </w:t>
      </w:r>
    </w:p>
    <w:p w14:paraId="3DE7EC0E" w14:textId="4DF40D1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2"/>
          <w:szCs w:val="22"/>
          <w:lang w:val="ka-GE"/>
        </w:rPr>
      </w:pPr>
      <w:r w:rsidRPr="00A90B8D">
        <w:rPr>
          <w:rFonts w:ascii="Sylfaen" w:hAnsi="Sylfaen" w:cs="Sylfaen"/>
          <w:noProof/>
          <w:sz w:val="22"/>
          <w:szCs w:val="22"/>
          <w:lang w:val="ka-GE" w:eastAsia="ka-GE"/>
        </w:rPr>
        <w:t>2. ამ მუხლის პირველი პუნქტის შესაბამისად სწრაფი მარტივი ტესტირების (ანტისხეულ-ანტიგენის კომბინაციით)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 ანტისხეულისა და პჯრ ტექნოლოგიით ტესტირების კომბინაციის შემთხვევაში, ანტისხეულზე ტესტირების დადებითი პასუხის შემთხვევაში, აღნიშნული მძღოლი პჯრ ტექნოლოგიით ტესტირების პასუხის მიღებამდე დროებით განთავსებულია ცხელების ცენტრში, ხოლო ანტისხეულზე ტესტირების უარყოფითი პასუხის შემთხვევაში,  პჯრ ტექნოლოგიით ტესტირების პასუხის მიღებამდე მძღოლს ეძლევა თვითიზოლაციის რეკომენდაცია.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w:t>
      </w:r>
    </w:p>
    <w:p w14:paraId="0557B573"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3. ამ მუხლის 1-ლი პუნქტით გათვალისწინებული ტესტირებისათვის შესაბამისი მომსახურების საფასურის გადახდას უზრუნველყოფს თავად მძღოლი, მისი დამსაქმებელი, შესაბამისი იმპორტიორი/ექსპორტიორი ან სხვა დაინტერესებული პირი.</w:t>
      </w:r>
    </w:p>
    <w:p w14:paraId="0B284ADF"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4. 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 რომლის შესახებ ინფორმაცია აღირიცხება შესაბამის პროგრამულ მოდულში.</w:t>
      </w:r>
    </w:p>
    <w:p w14:paraId="1114AA4B" w14:textId="0CEE723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1-ლი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60D5AF46"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p>
    <w:p w14:paraId="00B1FAD5"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r w:rsidRPr="00A90B8D">
        <w:rPr>
          <w:rFonts w:ascii="Sylfaen" w:hAnsi="Sylfaen" w:cs="Sylfaen"/>
          <w:b/>
          <w:bCs/>
          <w:noProof/>
          <w:sz w:val="22"/>
          <w:szCs w:val="22"/>
          <w:lang w:val="ka-GE"/>
        </w:rPr>
        <w:t>შენიშვნა:</w:t>
      </w:r>
    </w:p>
    <w:p w14:paraId="46F06E28" w14:textId="0FF1A243" w:rsidR="001A14EC" w:rsidRPr="00A90B8D" w:rsidRDefault="00A90B8D"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lastRenderedPageBreak/>
        <w:t>1. ამ მუხლის 1-ლი და მე-5</w:t>
      </w:r>
      <w:r w:rsidR="001A14EC" w:rsidRPr="00A90B8D">
        <w:rPr>
          <w:rFonts w:ascii="Sylfaen" w:hAnsi="Sylfaen" w:cs="Sylfaen"/>
          <w:noProof/>
          <w:sz w:val="22"/>
          <w:szCs w:val="22"/>
          <w:lang w:val="ka-GE"/>
        </w:rPr>
        <w:t xml:space="preserve"> პუნქტებით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14:paraId="10BED7E4" w14:textId="79677226"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14:paraId="10931BB6" w14:textId="769ACAFD"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413EC50" w14:textId="77777777" w:rsidR="001A14EC" w:rsidRPr="00A90B8D" w:rsidRDefault="001A14EC" w:rsidP="001A14E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b/>
          <w:bCs/>
          <w:noProof/>
          <w:sz w:val="22"/>
          <w:szCs w:val="22"/>
          <w:lang w:val="ka-GE"/>
        </w:rPr>
        <w:t>4</w:t>
      </w:r>
      <w:r w:rsidRPr="00A90B8D">
        <w:rPr>
          <w:b/>
          <w:bCs/>
          <w:noProof/>
          <w:sz w:val="22"/>
          <w:szCs w:val="22"/>
          <w:lang w:val="ka-GE"/>
        </w:rPr>
        <w:t>​</w:t>
      </w:r>
      <w:r w:rsidRPr="00A90B8D">
        <w:rPr>
          <w:rFonts w:ascii="Sylfaen" w:hAnsi="Sylfaen" w:cs="Sylfaen"/>
          <w:b/>
          <w:bCs/>
          <w:noProof/>
          <w:position w:val="6"/>
          <w:sz w:val="22"/>
          <w:szCs w:val="22"/>
          <w:lang w:val="ka-GE"/>
        </w:rPr>
        <w:t xml:space="preserve">1 </w:t>
      </w:r>
      <w:r w:rsidRPr="00A90B8D">
        <w:rPr>
          <w:rFonts w:ascii="Sylfaen" w:hAnsi="Sylfaen" w:cs="Sylfaen"/>
          <w:b/>
          <w:bCs/>
          <w:noProof/>
          <w:sz w:val="22"/>
          <w:szCs w:val="22"/>
          <w:lang w:val="ka-GE"/>
        </w:rPr>
        <w:t>მუხლის:</w:t>
      </w:r>
    </w:p>
    <w:p w14:paraId="1DF85B07" w14:textId="5CAB68F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r w:rsidRPr="00A90B8D">
        <w:rPr>
          <w:rFonts w:ascii="Sylfaen" w:hAnsi="Sylfaen" w:cs="Sylfaen"/>
          <w:b/>
          <w:bCs/>
          <w:noProof/>
          <w:sz w:val="22"/>
          <w:szCs w:val="22"/>
          <w:lang w:val="ka-GE"/>
        </w:rPr>
        <w:t>ა) მე-3 პუნქტი ჩამოყალიბდეს შემდეგი რედაქციით:</w:t>
      </w:r>
    </w:p>
    <w:p w14:paraId="446CA573"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p>
    <w:p w14:paraId="37B354C0" w14:textId="49F3DB1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ტესტირება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კომბინაციით)შესაბამის სამედიცინო დაწესებულებაში, მისი უკანასკნელი შესაბამისი ტესტირებიდან ყოველ 72 საათში ერთხელ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w:t>
      </w:r>
    </w:p>
    <w:p w14:paraId="28900242"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p>
    <w:p w14:paraId="2B6A3CC1" w14:textId="2203B274"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r w:rsidRPr="00A90B8D">
        <w:rPr>
          <w:rFonts w:ascii="Sylfaen" w:hAnsi="Sylfaen" w:cs="Sylfaen"/>
          <w:b/>
          <w:bCs/>
          <w:noProof/>
          <w:sz w:val="22"/>
          <w:szCs w:val="22"/>
          <w:lang w:val="ka-GE"/>
        </w:rPr>
        <w:t>ბ) მე-5 პუნქტი ჩამოყალიბდეს შემდეგი რედაქციით:</w:t>
      </w:r>
    </w:p>
    <w:p w14:paraId="046CFF3A"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49D6DFB4" w14:textId="794C4A0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360DC5CC" w14:textId="6FB550E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6205E975" w14:textId="2458A509" w:rsidR="007F651A" w:rsidRPr="00A90B8D" w:rsidRDefault="001A14EC" w:rsidP="001A14EC">
      <w:pPr>
        <w:pStyle w:val="ListParagraph"/>
        <w:numPr>
          <w:ilvl w:val="0"/>
          <w:numId w:val="9"/>
        </w:numPr>
        <w:spacing w:before="120" w:after="120" w:line="276" w:lineRule="auto"/>
        <w:jc w:val="both"/>
        <w:rPr>
          <w:rFonts w:ascii="Sylfaen" w:hAnsi="Sylfaen"/>
          <w:b/>
          <w:sz w:val="22"/>
          <w:szCs w:val="22"/>
          <w:lang w:val="ka-GE"/>
        </w:rPr>
      </w:pPr>
      <w:r w:rsidRPr="00A90B8D">
        <w:rPr>
          <w:rFonts w:ascii="Sylfaen" w:hAnsi="Sylfaen"/>
          <w:b/>
          <w:sz w:val="22"/>
          <w:szCs w:val="22"/>
          <w:lang w:val="ka-GE"/>
        </w:rPr>
        <w:t>მე-6 მუხლის მე-2 პუნქტი ჩამოყალიბდეს შემდეგი რედაქციით:</w:t>
      </w:r>
    </w:p>
    <w:p w14:paraId="27C22E7E" w14:textId="70C09428"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tab/>
        <w:t>,,2. ამ მუხლის 1-ლი პუნქტით გათვალისწინებულ შემთხვევაში სამართალდამრღვევი პირი დამატებით ექვემდებარება სწრაფ მარტივ ტესტირებას/პოლიმერაზული ჯაჭვური რეაქციის (PCR) ტექნოლოგიით ტესტირებას შესაბამის სამედიცინო დაწესებულებაში.‘‘.</w:t>
      </w:r>
    </w:p>
    <w:p w14:paraId="7F1B037A" w14:textId="00ADC78A" w:rsidR="00802F1D" w:rsidRPr="00A90B8D" w:rsidRDefault="00910325" w:rsidP="001A14EC">
      <w:pPr>
        <w:spacing w:before="120" w:after="120" w:line="276" w:lineRule="auto"/>
        <w:ind w:firstLine="720"/>
        <w:jc w:val="both"/>
        <w:rPr>
          <w:rFonts w:ascii="Sylfaen" w:hAnsi="Sylfaen"/>
          <w:b/>
          <w:sz w:val="22"/>
          <w:szCs w:val="22"/>
        </w:rPr>
      </w:pPr>
      <w:r w:rsidRPr="00A90B8D">
        <w:rPr>
          <w:rFonts w:ascii="Sylfaen" w:hAnsi="Sylfaen"/>
          <w:b/>
          <w:sz w:val="22"/>
          <w:szCs w:val="22"/>
        </w:rPr>
        <w:t>მუხლი 2</w:t>
      </w:r>
      <w:r w:rsidR="00802F1D" w:rsidRPr="00A90B8D">
        <w:rPr>
          <w:rFonts w:ascii="Sylfaen" w:hAnsi="Sylfaen"/>
          <w:b/>
          <w:sz w:val="22"/>
          <w:szCs w:val="22"/>
        </w:rPr>
        <w:t xml:space="preserve">. </w:t>
      </w:r>
    </w:p>
    <w:p w14:paraId="4A615E06" w14:textId="02E25C38" w:rsidR="00802F1D" w:rsidRPr="00A90B8D" w:rsidRDefault="00802F1D" w:rsidP="001A14EC">
      <w:pPr>
        <w:spacing w:before="120" w:after="120" w:line="276" w:lineRule="auto"/>
        <w:ind w:firstLine="720"/>
        <w:jc w:val="both"/>
        <w:rPr>
          <w:rFonts w:ascii="Sylfaen" w:hAnsi="Sylfaen"/>
          <w:sz w:val="22"/>
          <w:szCs w:val="22"/>
        </w:rPr>
      </w:pPr>
      <w:r w:rsidRPr="00A90B8D">
        <w:rPr>
          <w:rFonts w:ascii="Sylfaen" w:hAnsi="Sylfaen" w:cs="Sylfaen"/>
          <w:sz w:val="22"/>
          <w:szCs w:val="22"/>
        </w:rPr>
        <w:t>ეს</w:t>
      </w:r>
      <w:r w:rsidRPr="00A90B8D">
        <w:rPr>
          <w:rFonts w:ascii="Sylfaen" w:hAnsi="Sylfaen"/>
          <w:sz w:val="22"/>
          <w:szCs w:val="22"/>
        </w:rPr>
        <w:t xml:space="preserve"> </w:t>
      </w:r>
      <w:r w:rsidRPr="00A90B8D">
        <w:rPr>
          <w:rFonts w:ascii="Sylfaen" w:hAnsi="Sylfaen" w:cs="Sylfaen"/>
          <w:sz w:val="22"/>
          <w:szCs w:val="22"/>
        </w:rPr>
        <w:t>ბრძანება</w:t>
      </w:r>
      <w:r w:rsidRPr="00A90B8D">
        <w:rPr>
          <w:rFonts w:ascii="Sylfaen" w:hAnsi="Sylfaen"/>
          <w:sz w:val="22"/>
          <w:szCs w:val="22"/>
        </w:rPr>
        <w:t xml:space="preserve"> </w:t>
      </w:r>
      <w:r w:rsidRPr="00A90B8D">
        <w:rPr>
          <w:rFonts w:ascii="Sylfaen" w:hAnsi="Sylfaen" w:cs="Sylfaen"/>
          <w:sz w:val="22"/>
          <w:szCs w:val="22"/>
        </w:rPr>
        <w:t>ამოქმედდეს</w:t>
      </w:r>
      <w:r w:rsidRPr="00A90B8D">
        <w:rPr>
          <w:rFonts w:ascii="Sylfaen" w:hAnsi="Sylfaen"/>
          <w:sz w:val="22"/>
          <w:szCs w:val="22"/>
        </w:rPr>
        <w:t xml:space="preserve"> </w:t>
      </w:r>
      <w:r w:rsidRPr="00A90B8D">
        <w:rPr>
          <w:rFonts w:ascii="Sylfaen" w:hAnsi="Sylfaen" w:cs="Sylfaen"/>
          <w:sz w:val="22"/>
          <w:szCs w:val="22"/>
        </w:rPr>
        <w:t>გამოქვეყნებისთანავე</w:t>
      </w:r>
      <w:r w:rsidRPr="00A90B8D">
        <w:rPr>
          <w:rFonts w:ascii="Sylfaen" w:hAnsi="Sylfaen"/>
          <w:sz w:val="22"/>
          <w:szCs w:val="22"/>
        </w:rPr>
        <w:t>.</w:t>
      </w:r>
    </w:p>
    <w:p w14:paraId="25CCBC58" w14:textId="77777777" w:rsidR="00910325" w:rsidRPr="00A90B8D"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A90B8D"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A90B8D" w14:paraId="20577C27" w14:textId="77777777" w:rsidTr="00802F1D">
        <w:tc>
          <w:tcPr>
            <w:tcW w:w="5080" w:type="dxa"/>
          </w:tcPr>
          <w:p w14:paraId="0C76EF0E" w14:textId="399CD008" w:rsidR="00802F1D"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A90B8D" w:rsidRDefault="00802F1D" w:rsidP="00FF193B">
            <w:pPr>
              <w:spacing w:before="120" w:after="120" w:line="276" w:lineRule="auto"/>
              <w:jc w:val="both"/>
              <w:rPr>
                <w:b/>
                <w:sz w:val="22"/>
                <w:szCs w:val="22"/>
              </w:rPr>
            </w:pPr>
          </w:p>
        </w:tc>
        <w:tc>
          <w:tcPr>
            <w:tcW w:w="5080" w:type="dxa"/>
            <w:hideMark/>
          </w:tcPr>
          <w:p w14:paraId="0D5F694E" w14:textId="1A49524A" w:rsidR="00802F1D" w:rsidRPr="00A90B8D" w:rsidRDefault="00726541" w:rsidP="00FF193B">
            <w:pPr>
              <w:spacing w:before="120" w:after="120" w:line="276" w:lineRule="auto"/>
              <w:jc w:val="right"/>
              <w:rPr>
                <w:rFonts w:ascii="Sylfaen" w:hAnsi="Sylfaen"/>
                <w:sz w:val="22"/>
                <w:szCs w:val="22"/>
                <w:lang w:val="ka-GE"/>
              </w:rPr>
            </w:pPr>
            <w:r w:rsidRPr="00A90B8D">
              <w:rPr>
                <w:rFonts w:ascii="Sylfaen" w:hAnsi="Sylfaen"/>
                <w:b/>
                <w:sz w:val="22"/>
                <w:szCs w:val="22"/>
                <w:lang w:val="ka-GE"/>
              </w:rPr>
              <w:t>ნათელა თურნავა</w:t>
            </w:r>
          </w:p>
        </w:tc>
      </w:tr>
      <w:tr w:rsidR="00997DC5" w:rsidRPr="00A90B8D" w14:paraId="2704537D" w14:textId="77777777" w:rsidTr="00802F1D">
        <w:tc>
          <w:tcPr>
            <w:tcW w:w="5080" w:type="dxa"/>
          </w:tcPr>
          <w:p w14:paraId="656672B2" w14:textId="77777777" w:rsidR="00997DC5" w:rsidRPr="00A90B8D" w:rsidRDefault="00997DC5" w:rsidP="00FF193B">
            <w:pPr>
              <w:spacing w:before="120" w:after="120" w:line="276" w:lineRule="auto"/>
              <w:jc w:val="both"/>
              <w:rPr>
                <w:b/>
                <w:sz w:val="22"/>
                <w:szCs w:val="22"/>
              </w:rPr>
            </w:pPr>
          </w:p>
        </w:tc>
        <w:tc>
          <w:tcPr>
            <w:tcW w:w="5080" w:type="dxa"/>
          </w:tcPr>
          <w:p w14:paraId="264B04CF" w14:textId="77777777" w:rsidR="00997DC5" w:rsidRPr="00A90B8D" w:rsidRDefault="00997DC5" w:rsidP="00FF193B">
            <w:pPr>
              <w:spacing w:before="120" w:after="120" w:line="276" w:lineRule="auto"/>
              <w:jc w:val="right"/>
              <w:rPr>
                <w:b/>
                <w:sz w:val="22"/>
                <w:szCs w:val="22"/>
              </w:rPr>
            </w:pPr>
          </w:p>
        </w:tc>
      </w:tr>
      <w:tr w:rsidR="00997DC5" w:rsidRPr="00A90B8D" w14:paraId="0CA3B27C" w14:textId="77777777" w:rsidTr="00802F1D">
        <w:tc>
          <w:tcPr>
            <w:tcW w:w="5080" w:type="dxa"/>
          </w:tcPr>
          <w:p w14:paraId="4F178A65" w14:textId="70064873" w:rsidR="00726541"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ეკატერინე ტიკარაძე</w:t>
            </w:r>
          </w:p>
        </w:tc>
      </w:tr>
      <w:tr w:rsidR="00653BAA" w:rsidRPr="00A90B8D" w14:paraId="5050945C" w14:textId="77777777" w:rsidTr="00802F1D">
        <w:tc>
          <w:tcPr>
            <w:tcW w:w="5080" w:type="dxa"/>
          </w:tcPr>
          <w:p w14:paraId="734DF3B9" w14:textId="77777777" w:rsidR="00653BAA" w:rsidRPr="00A90B8D" w:rsidRDefault="00653BAA" w:rsidP="00FF193B">
            <w:pPr>
              <w:spacing w:before="120" w:after="120" w:line="276" w:lineRule="auto"/>
              <w:jc w:val="both"/>
              <w:rPr>
                <w:b/>
                <w:sz w:val="22"/>
                <w:szCs w:val="22"/>
              </w:rPr>
            </w:pPr>
          </w:p>
          <w:p w14:paraId="63AE2846" w14:textId="77777777" w:rsidR="00653BAA" w:rsidRPr="00A90B8D" w:rsidRDefault="00653BAA" w:rsidP="00FF193B">
            <w:pPr>
              <w:spacing w:before="120" w:after="120" w:line="276" w:lineRule="auto"/>
              <w:jc w:val="both"/>
              <w:rPr>
                <w:b/>
                <w:sz w:val="22"/>
                <w:szCs w:val="22"/>
              </w:rPr>
            </w:pPr>
          </w:p>
          <w:p w14:paraId="771CD590" w14:textId="096399ED" w:rsidR="00653BAA" w:rsidRPr="00A90B8D" w:rsidRDefault="00726541" w:rsidP="00FF193B">
            <w:pPr>
              <w:spacing w:before="120" w:after="120" w:line="276" w:lineRule="auto"/>
              <w:jc w:val="both"/>
              <w:rPr>
                <w:rFonts w:ascii="Sylfaen" w:hAnsi="Sylfaen" w:cs="Sylfaen"/>
                <w:b/>
                <w:sz w:val="22"/>
                <w:szCs w:val="22"/>
                <w:lang w:val="ka-GE"/>
              </w:rPr>
            </w:pPr>
            <w:r w:rsidRPr="00A90B8D">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A90B8D" w:rsidRDefault="00653BAA" w:rsidP="00FF193B">
            <w:pPr>
              <w:spacing w:before="120" w:after="120" w:line="276" w:lineRule="auto"/>
              <w:jc w:val="right"/>
              <w:rPr>
                <w:b/>
                <w:sz w:val="22"/>
                <w:szCs w:val="22"/>
              </w:rPr>
            </w:pPr>
          </w:p>
          <w:p w14:paraId="44C6F8AB" w14:textId="77777777" w:rsidR="00653BAA" w:rsidRPr="00A90B8D" w:rsidRDefault="00653BAA" w:rsidP="00FF193B">
            <w:pPr>
              <w:spacing w:before="120" w:after="120" w:line="276" w:lineRule="auto"/>
              <w:jc w:val="right"/>
              <w:rPr>
                <w:b/>
                <w:sz w:val="22"/>
                <w:szCs w:val="22"/>
              </w:rPr>
            </w:pPr>
          </w:p>
          <w:p w14:paraId="2839E69B" w14:textId="4321DCEC" w:rsidR="00653BAA"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ივანე მაჭავარიანი</w:t>
            </w:r>
          </w:p>
        </w:tc>
      </w:tr>
    </w:tbl>
    <w:p w14:paraId="57429B17" w14:textId="77777777" w:rsidR="00802F1D" w:rsidRPr="00A90B8D" w:rsidRDefault="00802F1D" w:rsidP="00846D09">
      <w:pPr>
        <w:jc w:val="center"/>
        <w:rPr>
          <w:rFonts w:ascii="Sylfaen" w:hAnsi="Sylfaen"/>
          <w:b/>
          <w:sz w:val="22"/>
          <w:szCs w:val="22"/>
        </w:rPr>
      </w:pPr>
    </w:p>
    <w:p w14:paraId="3144A0AA" w14:textId="77777777" w:rsidR="00802F1D" w:rsidRPr="00A90B8D" w:rsidRDefault="00802F1D">
      <w:pPr>
        <w:rPr>
          <w:rFonts w:ascii="Sylfaen" w:hAnsi="Sylfaen"/>
          <w:b/>
          <w:sz w:val="22"/>
          <w:szCs w:val="22"/>
        </w:rPr>
      </w:pPr>
      <w:r w:rsidRPr="00A90B8D">
        <w:rPr>
          <w:rFonts w:ascii="Sylfaen" w:hAnsi="Sylfaen"/>
          <w:b/>
          <w:sz w:val="22"/>
          <w:szCs w:val="22"/>
        </w:rPr>
        <w:br w:type="page"/>
      </w:r>
    </w:p>
    <w:p w14:paraId="7484214F" w14:textId="77777777" w:rsidR="006A694E" w:rsidRPr="00A90B8D" w:rsidRDefault="006A694E" w:rsidP="006A694E">
      <w:pPr>
        <w:jc w:val="center"/>
        <w:rPr>
          <w:rFonts w:ascii="Sylfaen" w:hAnsi="Sylfaen"/>
          <w:b/>
          <w:sz w:val="22"/>
          <w:szCs w:val="22"/>
        </w:rPr>
      </w:pPr>
      <w:r w:rsidRPr="00A90B8D">
        <w:rPr>
          <w:rFonts w:ascii="Sylfaen" w:hAnsi="Sylfaen"/>
          <w:b/>
          <w:sz w:val="22"/>
          <w:szCs w:val="22"/>
        </w:rPr>
        <w:lastRenderedPageBreak/>
        <w:t>განმარტებითი  ბარათი</w:t>
      </w:r>
    </w:p>
    <w:p w14:paraId="0BFEB735" w14:textId="77777777" w:rsidR="006A694E" w:rsidRPr="00A90B8D" w:rsidRDefault="006A694E" w:rsidP="006A694E">
      <w:pPr>
        <w:jc w:val="both"/>
        <w:rPr>
          <w:rFonts w:ascii="Sylfaen" w:hAnsi="Sylfaen"/>
          <w:sz w:val="22"/>
          <w:szCs w:val="22"/>
        </w:rPr>
      </w:pPr>
    </w:p>
    <w:p w14:paraId="45C733A9" w14:textId="65A55CF5" w:rsidR="00A72C0D" w:rsidRPr="0034682E" w:rsidRDefault="00A90B8D" w:rsidP="0034682E">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r w:rsidR="0034682E">
        <w:rPr>
          <w:rFonts w:ascii="Sylfaen" w:hAnsi="Sylfaen"/>
          <w:b/>
          <w:sz w:val="22"/>
          <w:szCs w:val="22"/>
          <w:lang w:val="ka-GE"/>
        </w:rPr>
        <w:t xml:space="preserve">“ </w:t>
      </w:r>
      <w:r w:rsidR="00AE6BFA"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A90B8D" w:rsidRDefault="00D220A7" w:rsidP="0040539B">
      <w:pPr>
        <w:jc w:val="both"/>
        <w:rPr>
          <w:rFonts w:ascii="Sylfaen" w:hAnsi="Sylfaen"/>
          <w:sz w:val="22"/>
          <w:szCs w:val="22"/>
        </w:rPr>
      </w:pPr>
    </w:p>
    <w:p w14:paraId="0A488C9E" w14:textId="77777777" w:rsidR="0040539B" w:rsidRPr="00A90B8D" w:rsidRDefault="0040539B" w:rsidP="0040539B">
      <w:pPr>
        <w:ind w:firstLine="720"/>
        <w:jc w:val="both"/>
        <w:rPr>
          <w:rFonts w:ascii="Sylfaen" w:hAnsi="Sylfaen"/>
          <w:b/>
          <w:sz w:val="22"/>
          <w:szCs w:val="22"/>
        </w:rPr>
      </w:pPr>
      <w:r w:rsidRPr="00A90B8D">
        <w:rPr>
          <w:rFonts w:ascii="Sylfaen" w:hAnsi="Sylfaen"/>
          <w:b/>
          <w:sz w:val="22"/>
          <w:szCs w:val="22"/>
        </w:rPr>
        <w:t>ინფორმაცია სამართლებრივი აქტის შესახებ</w:t>
      </w:r>
    </w:p>
    <w:p w14:paraId="769F0561" w14:textId="5631965D" w:rsidR="0034682E" w:rsidRPr="0034682E"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
      <w:r>
        <w:rPr>
          <w:rFonts w:ascii="Sylfaen" w:hAnsi="Sylfaen"/>
          <w:sz w:val="22"/>
          <w:szCs w:val="22"/>
        </w:rPr>
        <w:tab/>
      </w:r>
      <w:r w:rsidRPr="0034682E">
        <w:rPr>
          <w:rFonts w:ascii="Sylfaen" w:hAnsi="Sylfaen"/>
          <w:sz w:val="22"/>
          <w:szCs w:val="22"/>
        </w:rPr>
        <w:t xml:space="preserve">წარმოდეგნილი ერთობლივი ბრძანების პროექტის შემუშავების საჭიროება განპირობებულია, ამ ეტაპზე, </w:t>
      </w:r>
      <w:r w:rsidRPr="00172879">
        <w:rPr>
          <w:rFonts w:ascii="Sylfaen" w:hAnsi="Sylfaen"/>
          <w:sz w:val="22"/>
          <w:szCs w:val="22"/>
        </w:rPr>
        <w:t xml:space="preserve">მძღოლების ტესტირების </w:t>
      </w:r>
      <w:r w:rsidRPr="0034682E">
        <w:rPr>
          <w:rFonts w:ascii="Sylfaen" w:hAnsi="Sylfaen"/>
          <w:sz w:val="22"/>
          <w:szCs w:val="22"/>
        </w:rPr>
        <w:t xml:space="preserve">სქემის მოდიფიცირების საჭიროებით, </w:t>
      </w:r>
      <w:r w:rsidR="00644B39">
        <w:rPr>
          <w:rFonts w:ascii="Sylfaen" w:hAnsi="Sylfaen"/>
          <w:sz w:val="22"/>
          <w:szCs w:val="22"/>
        </w:rPr>
        <w:t>იმ</w:t>
      </w:r>
      <w:r w:rsidRPr="00172879">
        <w:rPr>
          <w:rFonts w:ascii="Sylfaen" w:hAnsi="Sylfaen"/>
          <w:sz w:val="22"/>
          <w:szCs w:val="22"/>
        </w:rPr>
        <w:t xml:space="preserve"> დაშვების გათვალისწინებით, რომ გარკვეულ</w:t>
      </w:r>
      <w:r w:rsidRPr="0034682E">
        <w:rPr>
          <w:rFonts w:ascii="Sylfaen" w:hAnsi="Sylfaen"/>
          <w:sz w:val="22"/>
          <w:szCs w:val="22"/>
        </w:rPr>
        <w:t>ი</w:t>
      </w:r>
      <w:r w:rsidRPr="00172879">
        <w:rPr>
          <w:rFonts w:ascii="Sylfaen" w:hAnsi="Sylfaen"/>
          <w:sz w:val="22"/>
          <w:szCs w:val="22"/>
        </w:rPr>
        <w:t xml:space="preserve"> </w:t>
      </w:r>
      <w:r w:rsidRPr="0034682E">
        <w:rPr>
          <w:rFonts w:ascii="Sylfaen" w:hAnsi="Sylfaen"/>
          <w:sz w:val="22"/>
          <w:szCs w:val="22"/>
        </w:rPr>
        <w:t>გარემოებების გათვალისწინებით,</w:t>
      </w:r>
      <w:r w:rsidRPr="00172879">
        <w:rPr>
          <w:rFonts w:ascii="Sylfaen" w:hAnsi="Sylfaen"/>
          <w:sz w:val="22"/>
          <w:szCs w:val="22"/>
        </w:rPr>
        <w:t xml:space="preserve"> </w:t>
      </w:r>
      <w:r w:rsidR="00644B39">
        <w:rPr>
          <w:rFonts w:ascii="Sylfaen" w:hAnsi="Sylfaen"/>
          <w:sz w:val="22"/>
          <w:szCs w:val="22"/>
          <w:lang w:val="ka-GE"/>
        </w:rPr>
        <w:t xml:space="preserve">შესაძლოა, </w:t>
      </w:r>
      <w:r w:rsidR="00644B39">
        <w:rPr>
          <w:rFonts w:ascii="Sylfaen" w:hAnsi="Sylfaen"/>
          <w:sz w:val="22"/>
          <w:szCs w:val="22"/>
        </w:rPr>
        <w:t>დადგე</w:t>
      </w:r>
      <w:r w:rsidR="00644B39">
        <w:rPr>
          <w:rFonts w:ascii="Sylfaen" w:hAnsi="Sylfaen"/>
          <w:sz w:val="22"/>
          <w:szCs w:val="22"/>
          <w:lang w:val="ka-GE"/>
        </w:rPr>
        <w:t>ს</w:t>
      </w:r>
      <w:r w:rsidRPr="0034682E">
        <w:rPr>
          <w:rFonts w:ascii="Sylfaen" w:hAnsi="Sylfaen"/>
          <w:sz w:val="22"/>
          <w:szCs w:val="22"/>
        </w:rPr>
        <w:t xml:space="preserve"> ტესტირების </w:t>
      </w:r>
      <w:r w:rsidRPr="00172879">
        <w:rPr>
          <w:rFonts w:ascii="Sylfaen" w:hAnsi="Sylfaen"/>
          <w:sz w:val="22"/>
          <w:szCs w:val="22"/>
        </w:rPr>
        <w:t xml:space="preserve">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 xml:space="preserve">მეთოდის </w:t>
      </w:r>
      <w:r w:rsidRPr="0034682E">
        <w:rPr>
          <w:rFonts w:ascii="Sylfaen" w:hAnsi="Sylfaen"/>
          <w:sz w:val="22"/>
          <w:szCs w:val="22"/>
        </w:rPr>
        <w:t xml:space="preserve">გამოყენების საჭიროება. </w:t>
      </w:r>
    </w:p>
    <w:p w14:paraId="4D9E4456" w14:textId="1F4323BB" w:rsidR="0034682E" w:rsidRPr="00172879"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 w:val="22"/>
          <w:szCs w:val="22"/>
        </w:rPr>
      </w:pPr>
      <w:r w:rsidRPr="0034682E">
        <w:rPr>
          <w:rFonts w:ascii="Sylfaen" w:hAnsi="Sylfaen"/>
          <w:sz w:val="22"/>
          <w:szCs w:val="22"/>
        </w:rPr>
        <w:tab/>
        <w:t xml:space="preserve">ცვლილების მიხედვით, </w:t>
      </w:r>
      <w:r w:rsidRPr="00172879">
        <w:rPr>
          <w:rFonts w:ascii="Sylfaen" w:hAnsi="Sylfaen"/>
          <w:sz w:val="22"/>
          <w:szCs w:val="22"/>
        </w:rPr>
        <w:t xml:space="preserve">თუ </w:t>
      </w:r>
      <w:r w:rsidRPr="0034682E">
        <w:rPr>
          <w:rFonts w:ascii="Sylfaen" w:hAnsi="Sylfaen"/>
          <w:sz w:val="22"/>
          <w:szCs w:val="22"/>
        </w:rPr>
        <w:t xml:space="preserve">მძღოლის ტესტირების შედეგად, </w:t>
      </w:r>
      <w:r w:rsidRPr="00172879">
        <w:rPr>
          <w:rFonts w:ascii="Sylfaen" w:hAnsi="Sylfaen"/>
          <w:sz w:val="22"/>
          <w:szCs w:val="22"/>
        </w:rPr>
        <w:t>ანტისხეული</w:t>
      </w:r>
      <w:r w:rsidRPr="0034682E">
        <w:rPr>
          <w:rFonts w:ascii="Sylfaen" w:hAnsi="Sylfaen"/>
          <w:sz w:val="22"/>
          <w:szCs w:val="22"/>
        </w:rPr>
        <w:t>ს</w:t>
      </w:r>
      <w:r w:rsidRPr="00172879">
        <w:rPr>
          <w:rFonts w:ascii="Sylfaen" w:hAnsi="Sylfaen"/>
          <w:sz w:val="22"/>
          <w:szCs w:val="22"/>
        </w:rPr>
        <w:t xml:space="preserve"> </w:t>
      </w:r>
      <w:r w:rsidRPr="0034682E">
        <w:rPr>
          <w:rFonts w:ascii="Sylfaen" w:hAnsi="Sylfaen"/>
          <w:sz w:val="22"/>
          <w:szCs w:val="22"/>
        </w:rPr>
        <w:t xml:space="preserve"> პასუხი დადებითი აღმოჩნდება,</w:t>
      </w:r>
      <w:r w:rsidRPr="00172879">
        <w:rPr>
          <w:rFonts w:ascii="Sylfaen" w:hAnsi="Sylfaen"/>
          <w:sz w:val="22"/>
          <w:szCs w:val="22"/>
        </w:rPr>
        <w:t xml:space="preserve"> მძღოლი 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პასუხს უნდა დაელოდოს ცხელების ცენტში. თუ ანტისხეულის პასუხი უარყოფითია</w:t>
      </w:r>
      <w:r w:rsidRPr="0034682E">
        <w:rPr>
          <w:rFonts w:ascii="Sylfaen" w:hAnsi="Sylfaen"/>
          <w:sz w:val="22"/>
          <w:szCs w:val="22"/>
        </w:rPr>
        <w:t>,</w:t>
      </w:r>
      <w:r w:rsidRPr="00172879">
        <w:rPr>
          <w:rFonts w:ascii="Sylfaen" w:hAnsi="Sylfaen"/>
          <w:sz w:val="22"/>
          <w:szCs w:val="22"/>
        </w:rPr>
        <w:t xml:space="preserve"> მძღოლს შეუძლია განაგრძოს მოძრაობა, მიეცეს თვით იზოლაციის რეკომენდაცია</w:t>
      </w:r>
      <w:r w:rsidRPr="0034682E">
        <w:rPr>
          <w:rFonts w:ascii="Sylfaen" w:hAnsi="Sylfaen"/>
          <w:sz w:val="22"/>
          <w:szCs w:val="22"/>
        </w:rPr>
        <w:t>,</w:t>
      </w:r>
      <w:r w:rsidRPr="00172879">
        <w:rPr>
          <w:rFonts w:ascii="Sylfaen" w:hAnsi="Sylfaen"/>
          <w:sz w:val="22"/>
          <w:szCs w:val="22"/>
        </w:rPr>
        <w:t xml:space="preserve"> </w:t>
      </w:r>
      <w:bookmarkStart w:id="0" w:name="_GoBack"/>
      <w:bookmarkEnd w:id="0"/>
      <w:r w:rsidRPr="00172879">
        <w:rPr>
          <w:rFonts w:ascii="Sylfaen" w:hAnsi="Sylfaen"/>
          <w:sz w:val="22"/>
          <w:szCs w:val="22"/>
        </w:rPr>
        <w:t xml:space="preserve">პჯრ </w:t>
      </w:r>
      <w:r w:rsidR="00644B39"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პასუხის მიღებამდე. დადებითი პასუხის შემთხვევაში</w:t>
      </w:r>
      <w:r w:rsidRPr="0034682E">
        <w:rPr>
          <w:rFonts w:ascii="Sylfaen" w:hAnsi="Sylfaen"/>
          <w:sz w:val="22"/>
          <w:szCs w:val="22"/>
        </w:rPr>
        <w:t>,</w:t>
      </w:r>
      <w:r w:rsidRPr="00172879">
        <w:rPr>
          <w:rFonts w:ascii="Sylfaen" w:hAnsi="Sylfaen"/>
          <w:sz w:val="22"/>
          <w:szCs w:val="22"/>
        </w:rPr>
        <w:t xml:space="preserve"> დადგება მძღოლის მოკვლევის საკითხი. </w:t>
      </w:r>
    </w:p>
    <w:p w14:paraId="4BB078E0" w14:textId="77777777" w:rsidR="0034682E" w:rsidRPr="0034682E" w:rsidRDefault="0034682E" w:rsidP="0034682E">
      <w:pPr>
        <w:spacing w:before="100" w:beforeAutospacing="1" w:after="100" w:afterAutospacing="1"/>
        <w:ind w:firstLine="720"/>
        <w:jc w:val="both"/>
        <w:rPr>
          <w:rFonts w:ascii="Sylfaen" w:hAnsi="Sylfaen"/>
          <w:sz w:val="22"/>
          <w:szCs w:val="22"/>
        </w:rPr>
      </w:pPr>
      <w:r w:rsidRPr="00172879">
        <w:rPr>
          <w:rFonts w:ascii="Sylfaen" w:hAnsi="Sylfaen"/>
          <w:sz w:val="22"/>
          <w:szCs w:val="22"/>
        </w:rPr>
        <w:t xml:space="preserve">საინფორმაციო ბაზაში ტესტების შედეგების შესაყვანად კლინიკებს </w:t>
      </w:r>
      <w:r w:rsidRPr="0034682E">
        <w:rPr>
          <w:rFonts w:ascii="Sylfaen" w:hAnsi="Sylfaen"/>
          <w:sz w:val="22"/>
          <w:szCs w:val="22"/>
        </w:rPr>
        <w:t>განესაზღვრა</w:t>
      </w:r>
      <w:r w:rsidRPr="00172879">
        <w:rPr>
          <w:rFonts w:ascii="Sylfaen" w:hAnsi="Sylfaen"/>
          <w:sz w:val="22"/>
          <w:szCs w:val="22"/>
        </w:rPr>
        <w:t xml:space="preserve">თ სამი საათი. </w:t>
      </w:r>
    </w:p>
    <w:p w14:paraId="5098271F"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მიღებით</w:t>
      </w:r>
      <w:r w:rsidRPr="00A90B8D">
        <w:rPr>
          <w:b/>
          <w:sz w:val="22"/>
          <w:szCs w:val="22"/>
        </w:rPr>
        <w:t xml:space="preserve"> </w:t>
      </w:r>
      <w:r w:rsidRPr="00A90B8D">
        <w:rPr>
          <w:rFonts w:ascii="Sylfaen" w:hAnsi="Sylfaen"/>
          <w:b/>
          <w:sz w:val="22"/>
          <w:szCs w:val="22"/>
        </w:rPr>
        <w:t>გამოწვეული</w:t>
      </w:r>
      <w:r w:rsidRPr="00A90B8D">
        <w:rPr>
          <w:b/>
          <w:sz w:val="22"/>
          <w:szCs w:val="22"/>
        </w:rPr>
        <w:t xml:space="preserve"> </w:t>
      </w:r>
      <w:r w:rsidRPr="00A90B8D">
        <w:rPr>
          <w:rFonts w:ascii="Sylfaen" w:hAnsi="Sylfaen"/>
          <w:b/>
          <w:sz w:val="22"/>
          <w:szCs w:val="22"/>
        </w:rPr>
        <w:t>საფინანსო</w:t>
      </w:r>
      <w:r w:rsidRPr="00A90B8D">
        <w:rPr>
          <w:b/>
          <w:sz w:val="22"/>
          <w:szCs w:val="22"/>
        </w:rPr>
        <w:t xml:space="preserve"> </w:t>
      </w:r>
      <w:r w:rsidRPr="00A90B8D">
        <w:rPr>
          <w:rFonts w:ascii="Sylfaen" w:hAnsi="Sylfaen"/>
          <w:b/>
          <w:sz w:val="22"/>
          <w:szCs w:val="22"/>
        </w:rPr>
        <w:t>ეკონომიკური</w:t>
      </w:r>
      <w:r w:rsidRPr="00A90B8D">
        <w:rPr>
          <w:b/>
          <w:sz w:val="22"/>
          <w:szCs w:val="22"/>
        </w:rPr>
        <w:t xml:space="preserve"> </w:t>
      </w:r>
      <w:r w:rsidRPr="00A90B8D">
        <w:rPr>
          <w:rFonts w:ascii="Sylfaen" w:hAnsi="Sylfaen"/>
          <w:b/>
          <w:sz w:val="22"/>
          <w:szCs w:val="22"/>
        </w:rPr>
        <w:t>შედეგების</w:t>
      </w:r>
      <w:r w:rsidRPr="00A90B8D">
        <w:rPr>
          <w:b/>
          <w:sz w:val="22"/>
          <w:szCs w:val="22"/>
        </w:rPr>
        <w:t xml:space="preserve"> </w:t>
      </w:r>
      <w:r w:rsidRPr="00A90B8D">
        <w:rPr>
          <w:rFonts w:ascii="Sylfaen" w:hAnsi="Sylfaen"/>
          <w:b/>
          <w:sz w:val="22"/>
          <w:szCs w:val="22"/>
        </w:rPr>
        <w:t>გაანგარიშება</w:t>
      </w:r>
    </w:p>
    <w:p w14:paraId="7821BB55" w14:textId="6E4568C7" w:rsidR="00A111B4" w:rsidRPr="00A90B8D" w:rsidRDefault="00A111B4" w:rsidP="0040539B">
      <w:pPr>
        <w:ind w:firstLine="720"/>
        <w:jc w:val="both"/>
        <w:rPr>
          <w:rFonts w:ascii="Sylfaen" w:hAnsi="Sylfaen"/>
          <w:sz w:val="22"/>
          <w:szCs w:val="22"/>
        </w:rPr>
      </w:pPr>
      <w:r w:rsidRPr="00A90B8D">
        <w:rPr>
          <w:rFonts w:ascii="Sylfaen" w:hAnsi="Sylfaen"/>
          <w:sz w:val="22"/>
          <w:szCs w:val="22"/>
        </w:rPr>
        <w:t>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A90B8D" w:rsidRDefault="00A111B4" w:rsidP="0040539B">
      <w:pPr>
        <w:ind w:firstLine="720"/>
        <w:jc w:val="both"/>
        <w:rPr>
          <w:rFonts w:ascii="Sylfaen" w:hAnsi="Sylfaen"/>
          <w:sz w:val="22"/>
          <w:szCs w:val="22"/>
        </w:rPr>
      </w:pPr>
    </w:p>
    <w:p w14:paraId="01817025"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მოსალოდნელი</w:t>
      </w:r>
      <w:r w:rsidRPr="00A90B8D">
        <w:rPr>
          <w:b/>
          <w:sz w:val="22"/>
          <w:szCs w:val="22"/>
        </w:rPr>
        <w:t xml:space="preserve"> </w:t>
      </w:r>
      <w:r w:rsidRPr="00A90B8D">
        <w:rPr>
          <w:rFonts w:ascii="Sylfaen" w:hAnsi="Sylfaen"/>
          <w:b/>
          <w:sz w:val="22"/>
          <w:szCs w:val="22"/>
        </w:rPr>
        <w:t>შედეგები</w:t>
      </w:r>
    </w:p>
    <w:p w14:paraId="5DB7ECBE" w14:textId="556C9D29" w:rsidR="00A111B4" w:rsidRPr="00A90B8D" w:rsidRDefault="00644B39" w:rsidP="00A111B4">
      <w:pPr>
        <w:ind w:firstLine="720"/>
        <w:jc w:val="both"/>
        <w:rPr>
          <w:rFonts w:ascii="Sylfaen" w:hAnsi="Sylfaen"/>
          <w:sz w:val="22"/>
          <w:szCs w:val="22"/>
        </w:rPr>
      </w:pPr>
      <w:r>
        <w:rPr>
          <w:rFonts w:ascii="Sylfaen" w:hAnsi="Sylfaen"/>
          <w:sz w:val="22"/>
          <w:szCs w:val="22"/>
          <w:lang w:val="ka-GE"/>
        </w:rPr>
        <w:t>წარმოდგენილი პროექტის უკავშირდება მძღოლების ტესტირების მეთოდს.</w:t>
      </w:r>
    </w:p>
    <w:p w14:paraId="740222CB" w14:textId="77777777" w:rsidR="0040539B" w:rsidRPr="00A90B8D" w:rsidRDefault="0040539B" w:rsidP="0040539B">
      <w:pPr>
        <w:ind w:firstLine="720"/>
        <w:jc w:val="both"/>
        <w:rPr>
          <w:rFonts w:ascii="Sylfaen" w:hAnsi="Sylfaen"/>
          <w:sz w:val="22"/>
          <w:szCs w:val="22"/>
        </w:rPr>
      </w:pPr>
      <w:r w:rsidRPr="00A90B8D">
        <w:rPr>
          <w:rFonts w:ascii="Sylfaen" w:hAnsi="Sylfaen"/>
          <w:sz w:val="22"/>
          <w:szCs w:val="22"/>
        </w:rPr>
        <w:t xml:space="preserve">   </w:t>
      </w:r>
    </w:p>
    <w:p w14:paraId="10FDAF06" w14:textId="77777777" w:rsidR="00A111B4" w:rsidRPr="00A90B8D" w:rsidRDefault="00A111B4" w:rsidP="00A111B4">
      <w:pPr>
        <w:ind w:firstLine="720"/>
        <w:jc w:val="both"/>
        <w:rPr>
          <w:b/>
          <w:sz w:val="22"/>
          <w:szCs w:val="22"/>
        </w:rPr>
      </w:pP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მიმართება</w:t>
      </w:r>
      <w:r w:rsidRPr="00A90B8D">
        <w:rPr>
          <w:b/>
          <w:sz w:val="22"/>
          <w:szCs w:val="22"/>
        </w:rPr>
        <w:t xml:space="preserve"> </w:t>
      </w:r>
      <w:r w:rsidRPr="00A90B8D">
        <w:rPr>
          <w:rFonts w:ascii="Sylfaen" w:hAnsi="Sylfaen"/>
          <w:b/>
          <w:sz w:val="22"/>
          <w:szCs w:val="22"/>
        </w:rPr>
        <w:t>ევროკავშირის</w:t>
      </w:r>
      <w:r w:rsidRPr="00A90B8D">
        <w:rPr>
          <w:b/>
          <w:sz w:val="22"/>
          <w:szCs w:val="22"/>
        </w:rPr>
        <w:t xml:space="preserve"> </w:t>
      </w:r>
      <w:r w:rsidRPr="00A90B8D">
        <w:rPr>
          <w:rFonts w:ascii="Sylfaen" w:hAnsi="Sylfaen"/>
          <w:b/>
          <w:sz w:val="22"/>
          <w:szCs w:val="22"/>
        </w:rPr>
        <w:t>სამართლებრივ</w:t>
      </w:r>
      <w:r w:rsidRPr="00A90B8D">
        <w:rPr>
          <w:b/>
          <w:sz w:val="22"/>
          <w:szCs w:val="22"/>
        </w:rPr>
        <w:t xml:space="preserve"> </w:t>
      </w:r>
      <w:r w:rsidRPr="00A90B8D">
        <w:rPr>
          <w:rFonts w:ascii="Sylfaen" w:hAnsi="Sylfaen"/>
          <w:b/>
          <w:sz w:val="22"/>
          <w:szCs w:val="22"/>
        </w:rPr>
        <w:t>აქტებთან</w:t>
      </w:r>
    </w:p>
    <w:p w14:paraId="6F303498" w14:textId="77777777" w:rsidR="0040539B" w:rsidRPr="00A90B8D" w:rsidRDefault="00A111B4" w:rsidP="00A111B4">
      <w:pPr>
        <w:ind w:firstLine="720"/>
        <w:jc w:val="both"/>
        <w:rPr>
          <w:rFonts w:ascii="Sylfaen" w:hAnsi="Sylfaen"/>
          <w:sz w:val="22"/>
          <w:szCs w:val="22"/>
        </w:rPr>
      </w:pPr>
      <w:r w:rsidRPr="00A90B8D">
        <w:rPr>
          <w:rFonts w:ascii="Sylfaen" w:hAnsi="Sylfaen"/>
          <w:sz w:val="22"/>
          <w:szCs w:val="22"/>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A90B8D">
        <w:rPr>
          <w:rFonts w:ascii="Sylfaen" w:hAnsi="Sylfaen"/>
          <w:sz w:val="22"/>
          <w:szCs w:val="22"/>
        </w:rPr>
        <w:t xml:space="preserve"> და არ ეწინააღმდეგება მათ</w:t>
      </w:r>
      <w:r w:rsidR="00E7666D" w:rsidRPr="00A90B8D">
        <w:rPr>
          <w:rFonts w:ascii="Sylfaen" w:hAnsi="Sylfaen"/>
          <w:sz w:val="22"/>
          <w:szCs w:val="22"/>
        </w:rPr>
        <w:t>.</w:t>
      </w:r>
    </w:p>
    <w:p w14:paraId="275EACFF" w14:textId="77777777" w:rsidR="0040539B" w:rsidRPr="00A90B8D" w:rsidRDefault="0040539B" w:rsidP="000A2C08">
      <w:pPr>
        <w:jc w:val="both"/>
        <w:rPr>
          <w:rFonts w:ascii="Sylfaen" w:hAnsi="Sylfaen"/>
          <w:sz w:val="22"/>
          <w:szCs w:val="22"/>
        </w:rPr>
      </w:pPr>
    </w:p>
    <w:p w14:paraId="761F7D30" w14:textId="77777777" w:rsidR="0040539B" w:rsidRPr="00A90B8D" w:rsidRDefault="00A111B4" w:rsidP="00A111B4">
      <w:pPr>
        <w:ind w:firstLine="720"/>
        <w:jc w:val="both"/>
        <w:rPr>
          <w:rFonts w:ascii="Sylfaen" w:hAnsi="Sylfaen"/>
          <w:b/>
          <w:sz w:val="22"/>
          <w:szCs w:val="22"/>
        </w:rPr>
      </w:pPr>
      <w:r w:rsidRPr="00A90B8D">
        <w:rPr>
          <w:rFonts w:ascii="Sylfaen" w:hAnsi="Sylfaen"/>
          <w:b/>
          <w:sz w:val="22"/>
          <w:szCs w:val="22"/>
        </w:rPr>
        <w:t xml:space="preserve">სამართლებრივი აქტის </w:t>
      </w:r>
      <w:r w:rsidR="0040539B" w:rsidRPr="00A90B8D">
        <w:rPr>
          <w:rFonts w:ascii="Sylfaen" w:hAnsi="Sylfaen"/>
          <w:b/>
          <w:sz w:val="22"/>
          <w:szCs w:val="22"/>
        </w:rPr>
        <w:t xml:space="preserve">განხორციელების ვადები </w:t>
      </w:r>
    </w:p>
    <w:p w14:paraId="31129060" w14:textId="33092230" w:rsidR="0040539B" w:rsidRPr="00A90B8D" w:rsidRDefault="0040539B" w:rsidP="0040539B">
      <w:pPr>
        <w:ind w:firstLine="720"/>
        <w:jc w:val="both"/>
        <w:rPr>
          <w:rFonts w:ascii="Sylfaen" w:hAnsi="Sylfaen"/>
          <w:sz w:val="22"/>
          <w:szCs w:val="22"/>
          <w:lang w:val="ka-GE"/>
        </w:rPr>
      </w:pPr>
      <w:r w:rsidRPr="00A90B8D">
        <w:rPr>
          <w:rFonts w:ascii="Sylfaen" w:hAnsi="Sylfaen"/>
          <w:sz w:val="22"/>
          <w:szCs w:val="22"/>
        </w:rPr>
        <w:t>პროექტ</w:t>
      </w:r>
      <w:r w:rsidR="00B21B77" w:rsidRPr="00A90B8D">
        <w:rPr>
          <w:rFonts w:ascii="Sylfaen" w:hAnsi="Sylfaen"/>
          <w:sz w:val="22"/>
          <w:szCs w:val="22"/>
          <w:lang w:val="ka-GE"/>
        </w:rPr>
        <w:t>ი განხორციელდება 2020 წლის 15 ივლისამდე</w:t>
      </w:r>
      <w:r w:rsidR="00AE6BFA" w:rsidRPr="00A90B8D">
        <w:rPr>
          <w:rFonts w:ascii="Sylfaen" w:hAnsi="Sylfaen"/>
          <w:sz w:val="22"/>
          <w:szCs w:val="22"/>
          <w:lang w:val="ka-GE"/>
        </w:rPr>
        <w:t>.</w:t>
      </w:r>
    </w:p>
    <w:p w14:paraId="3039891E" w14:textId="77777777" w:rsidR="0040539B" w:rsidRPr="00A90B8D" w:rsidRDefault="0040539B" w:rsidP="0040539B">
      <w:pPr>
        <w:jc w:val="both"/>
        <w:rPr>
          <w:rFonts w:ascii="Sylfaen" w:hAnsi="Sylfaen"/>
          <w:sz w:val="22"/>
          <w:szCs w:val="22"/>
        </w:rPr>
      </w:pPr>
    </w:p>
    <w:p w14:paraId="2A4E205D" w14:textId="77777777" w:rsidR="00A111B4" w:rsidRPr="00A90B8D" w:rsidRDefault="00A111B4" w:rsidP="00A111B4">
      <w:pPr>
        <w:spacing w:line="312" w:lineRule="auto"/>
        <w:ind w:firstLine="720"/>
        <w:rPr>
          <w:rFonts w:ascii="Sylfaen" w:hAnsi="Sylfaen"/>
          <w:b/>
          <w:sz w:val="22"/>
          <w:szCs w:val="22"/>
        </w:rPr>
      </w:pPr>
      <w:r w:rsidRPr="00A90B8D">
        <w:rPr>
          <w:rFonts w:ascii="Sylfaen" w:hAnsi="Sylfaen"/>
          <w:b/>
          <w:sz w:val="22"/>
          <w:szCs w:val="22"/>
        </w:rPr>
        <w:t>სამართლებრივი პროექტის ავტორი და წარმდგენი</w:t>
      </w:r>
    </w:p>
    <w:p w14:paraId="123C48CF" w14:textId="6F3E2BC6" w:rsidR="00A111B4" w:rsidRPr="00A90B8D" w:rsidRDefault="006A694E" w:rsidP="00A111B4">
      <w:pPr>
        <w:spacing w:line="312" w:lineRule="auto"/>
        <w:ind w:firstLine="720"/>
        <w:jc w:val="both"/>
        <w:rPr>
          <w:rFonts w:ascii="Sylfaen" w:hAnsi="Sylfaen"/>
          <w:b/>
          <w:sz w:val="22"/>
          <w:szCs w:val="22"/>
        </w:rPr>
      </w:pPr>
      <w:r w:rsidRPr="00A90B8D">
        <w:rPr>
          <w:rFonts w:ascii="Sylfaen" w:hAnsi="Sylfaen"/>
          <w:sz w:val="22"/>
          <w:szCs w:val="22"/>
        </w:rPr>
        <w:lastRenderedPageBreak/>
        <w:t>პ</w:t>
      </w:r>
      <w:r w:rsidR="00A111B4" w:rsidRPr="00A90B8D">
        <w:rPr>
          <w:rFonts w:ascii="Sylfaen" w:hAnsi="Sylfaen"/>
          <w:sz w:val="22"/>
          <w:szCs w:val="22"/>
        </w:rPr>
        <w:t>როექტის ავტორ</w:t>
      </w:r>
      <w:r w:rsidRPr="00A90B8D">
        <w:rPr>
          <w:rFonts w:ascii="Sylfaen" w:hAnsi="Sylfaen"/>
          <w:sz w:val="22"/>
          <w:szCs w:val="22"/>
        </w:rPr>
        <w:t>ები</w:t>
      </w:r>
      <w:r w:rsidR="00A111B4" w:rsidRPr="00A90B8D">
        <w:rPr>
          <w:rFonts w:ascii="Sylfaen" w:hAnsi="Sylfaen"/>
          <w:sz w:val="22"/>
          <w:szCs w:val="22"/>
        </w:rPr>
        <w:t xml:space="preserve"> და </w:t>
      </w:r>
      <w:r w:rsidR="0034682E">
        <w:rPr>
          <w:rFonts w:ascii="Sylfaen" w:hAnsi="Sylfaen"/>
          <w:sz w:val="22"/>
          <w:szCs w:val="22"/>
          <w:lang w:val="ka-GE"/>
        </w:rPr>
        <w:t>ინიციატორია</w:t>
      </w:r>
      <w:r w:rsidR="0034682E">
        <w:rPr>
          <w:rFonts w:ascii="Sylfaen" w:hAnsi="Sylfaen"/>
          <w:sz w:val="22"/>
          <w:szCs w:val="22"/>
        </w:rPr>
        <w:t xml:space="preserve"> </w:t>
      </w:r>
      <w:r w:rsidRPr="00A90B8D">
        <w:rPr>
          <w:rFonts w:ascii="Sylfaen" w:hAnsi="Sylfaen"/>
          <w:sz w:val="22"/>
          <w:szCs w:val="22"/>
        </w:rPr>
        <w:t>საქართველოს ოკუპირ</w:t>
      </w:r>
      <w:r w:rsidR="006E44F2" w:rsidRPr="00A90B8D">
        <w:rPr>
          <w:rFonts w:ascii="Sylfaen" w:hAnsi="Sylfaen"/>
          <w:sz w:val="22"/>
          <w:szCs w:val="22"/>
        </w:rPr>
        <w:t>f</w:t>
      </w:r>
      <w:r w:rsidRPr="00A90B8D">
        <w:rPr>
          <w:rFonts w:ascii="Sylfaen" w:hAnsi="Sylfaen"/>
          <w:sz w:val="22"/>
          <w:szCs w:val="22"/>
        </w:rPr>
        <w:t>ებული ტერიტორიებიდან დევნილთა, შრომის, ჯანმრთელობისა და სოციალური დაცვის სამინისტრო</w:t>
      </w:r>
      <w:r w:rsidR="008D5A78" w:rsidRPr="00A90B8D">
        <w:rPr>
          <w:rFonts w:ascii="Sylfaen" w:hAnsi="Sylfaen"/>
          <w:sz w:val="22"/>
          <w:szCs w:val="22"/>
        </w:rPr>
        <w:t xml:space="preserve"> და</w:t>
      </w:r>
      <w:r w:rsidRPr="00A90B8D">
        <w:rPr>
          <w:rFonts w:ascii="Sylfaen" w:hAnsi="Sylfaen"/>
          <w:sz w:val="22"/>
          <w:szCs w:val="22"/>
        </w:rPr>
        <w:t xml:space="preserve"> საქართველოს ფინანსთა სამინისტრო</w:t>
      </w:r>
      <w:r w:rsidR="008D5A78" w:rsidRPr="00A90B8D">
        <w:rPr>
          <w:rFonts w:ascii="Sylfaen" w:hAnsi="Sylfaen"/>
          <w:sz w:val="22"/>
          <w:szCs w:val="22"/>
        </w:rPr>
        <w:t>.</w:t>
      </w:r>
    </w:p>
    <w:p w14:paraId="06156BC0" w14:textId="23271BA8" w:rsidR="00A90B8D" w:rsidRDefault="00A90B8D"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2E5CB7FA" w14:textId="360AB149"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53401197" w14:textId="5BEFA00D"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sectPr w:rsidR="0034682E" w:rsidSect="001510E3">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3EAF2" w14:textId="77777777" w:rsidR="00AC68F6" w:rsidRDefault="00AC68F6" w:rsidP="003C4321">
      <w:r>
        <w:separator/>
      </w:r>
    </w:p>
  </w:endnote>
  <w:endnote w:type="continuationSeparator" w:id="0">
    <w:p w14:paraId="7419231D" w14:textId="77777777" w:rsidR="00AC68F6" w:rsidRDefault="00AC68F6"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E899A" w14:textId="77777777" w:rsidR="00AC68F6" w:rsidRDefault="00AC68F6" w:rsidP="003C4321">
      <w:r>
        <w:separator/>
      </w:r>
    </w:p>
  </w:footnote>
  <w:footnote w:type="continuationSeparator" w:id="0">
    <w:p w14:paraId="018841AA" w14:textId="77777777" w:rsidR="00AC68F6" w:rsidRDefault="00AC68F6" w:rsidP="003C43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29C8"/>
    <w:multiLevelType w:val="hybridMultilevel"/>
    <w:tmpl w:val="E08ABB72"/>
    <w:lvl w:ilvl="0" w:tplc="C818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4EC"/>
    <w:rsid w:val="001A1632"/>
    <w:rsid w:val="001C1375"/>
    <w:rsid w:val="001D050C"/>
    <w:rsid w:val="001D4C77"/>
    <w:rsid w:val="001D7D47"/>
    <w:rsid w:val="001E6A34"/>
    <w:rsid w:val="001F3EA9"/>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7EDF"/>
    <w:rsid w:val="002A699B"/>
    <w:rsid w:val="002B29F6"/>
    <w:rsid w:val="002B2A58"/>
    <w:rsid w:val="002B4DC8"/>
    <w:rsid w:val="002E2F9A"/>
    <w:rsid w:val="002F274F"/>
    <w:rsid w:val="002F3A7A"/>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4682E"/>
    <w:rsid w:val="00350BE9"/>
    <w:rsid w:val="003519F6"/>
    <w:rsid w:val="00353DFC"/>
    <w:rsid w:val="0037067E"/>
    <w:rsid w:val="00370B8C"/>
    <w:rsid w:val="00371B94"/>
    <w:rsid w:val="00376708"/>
    <w:rsid w:val="00380066"/>
    <w:rsid w:val="00385958"/>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36B3"/>
    <w:rsid w:val="003F505A"/>
    <w:rsid w:val="003F56F1"/>
    <w:rsid w:val="00402170"/>
    <w:rsid w:val="00404EF7"/>
    <w:rsid w:val="0040539B"/>
    <w:rsid w:val="0041222C"/>
    <w:rsid w:val="00413BEA"/>
    <w:rsid w:val="00416475"/>
    <w:rsid w:val="004179A1"/>
    <w:rsid w:val="00417F37"/>
    <w:rsid w:val="00425FA1"/>
    <w:rsid w:val="0042676B"/>
    <w:rsid w:val="004303DA"/>
    <w:rsid w:val="00430602"/>
    <w:rsid w:val="00435D79"/>
    <w:rsid w:val="0044376A"/>
    <w:rsid w:val="00451F04"/>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223BF"/>
    <w:rsid w:val="00537221"/>
    <w:rsid w:val="005378F1"/>
    <w:rsid w:val="00545408"/>
    <w:rsid w:val="005517DB"/>
    <w:rsid w:val="00552D4E"/>
    <w:rsid w:val="00552FC9"/>
    <w:rsid w:val="005575D0"/>
    <w:rsid w:val="00564FF2"/>
    <w:rsid w:val="00573A8F"/>
    <w:rsid w:val="0057424F"/>
    <w:rsid w:val="00574DE2"/>
    <w:rsid w:val="00582AB6"/>
    <w:rsid w:val="005A194F"/>
    <w:rsid w:val="005A470B"/>
    <w:rsid w:val="005A4E10"/>
    <w:rsid w:val="005B3F68"/>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44B39"/>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7F651A"/>
    <w:rsid w:val="00802F1D"/>
    <w:rsid w:val="00804B01"/>
    <w:rsid w:val="00804CBC"/>
    <w:rsid w:val="0080531E"/>
    <w:rsid w:val="00814479"/>
    <w:rsid w:val="00821A7D"/>
    <w:rsid w:val="0082565E"/>
    <w:rsid w:val="00843169"/>
    <w:rsid w:val="00846D09"/>
    <w:rsid w:val="00853F6C"/>
    <w:rsid w:val="008542D4"/>
    <w:rsid w:val="008548B2"/>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77B6"/>
    <w:rsid w:val="008F31A5"/>
    <w:rsid w:val="008F3C86"/>
    <w:rsid w:val="008F6B51"/>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0B8D"/>
    <w:rsid w:val="00A91B91"/>
    <w:rsid w:val="00AA6BF5"/>
    <w:rsid w:val="00AA7A12"/>
    <w:rsid w:val="00AB797B"/>
    <w:rsid w:val="00AC4609"/>
    <w:rsid w:val="00AC68F6"/>
    <w:rsid w:val="00AC6B7C"/>
    <w:rsid w:val="00AD71B7"/>
    <w:rsid w:val="00AE272B"/>
    <w:rsid w:val="00AE425E"/>
    <w:rsid w:val="00AE6BFA"/>
    <w:rsid w:val="00AF21DC"/>
    <w:rsid w:val="00AF6113"/>
    <w:rsid w:val="00B00795"/>
    <w:rsid w:val="00B00F9B"/>
    <w:rsid w:val="00B0103C"/>
    <w:rsid w:val="00B03079"/>
    <w:rsid w:val="00B04FBB"/>
    <w:rsid w:val="00B12D79"/>
    <w:rsid w:val="00B14C2D"/>
    <w:rsid w:val="00B20401"/>
    <w:rsid w:val="00B21B77"/>
    <w:rsid w:val="00B233E6"/>
    <w:rsid w:val="00B30AD1"/>
    <w:rsid w:val="00B31915"/>
    <w:rsid w:val="00B41EC4"/>
    <w:rsid w:val="00B43DD2"/>
    <w:rsid w:val="00B46FFA"/>
    <w:rsid w:val="00B510A3"/>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E8C"/>
    <w:rsid w:val="00C04312"/>
    <w:rsid w:val="00C1330F"/>
    <w:rsid w:val="00C14395"/>
    <w:rsid w:val="00C15352"/>
    <w:rsid w:val="00C2161F"/>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6979"/>
    <w:rsid w:val="00E278E1"/>
    <w:rsid w:val="00E27A4E"/>
    <w:rsid w:val="00E333A9"/>
    <w:rsid w:val="00E34BA9"/>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706C3"/>
    <w:rsid w:val="00F7090D"/>
    <w:rsid w:val="00F73356"/>
    <w:rsid w:val="00F74BD3"/>
    <w:rsid w:val="00F77424"/>
    <w:rsid w:val="00F80415"/>
    <w:rsid w:val="00F81E5C"/>
    <w:rsid w:val="00FA03FE"/>
    <w:rsid w:val="00FA433A"/>
    <w:rsid w:val="00FA43D3"/>
    <w:rsid w:val="00FB0D7B"/>
    <w:rsid w:val="00FC1194"/>
    <w:rsid w:val="00FC154F"/>
    <w:rsid w:val="00FC661F"/>
    <w:rsid w:val="00FD1799"/>
    <w:rsid w:val="00FD59E7"/>
    <w:rsid w:val="00FD6CCE"/>
    <w:rsid w:val="00FE031E"/>
    <w:rsid w:val="00FE7EF6"/>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39202657">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14921008">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51937153">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45590305">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590191528">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 w:id="200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6F1C-A6F7-4FED-80BA-A766E371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8956</Characters>
  <Application>Microsoft Office Word</Application>
  <DocSecurity>0</DocSecurity>
  <Lines>74</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Shorena Okropiridze</cp:lastModifiedBy>
  <cp:revision>2</cp:revision>
  <cp:lastPrinted>2020-07-03T14:29:00Z</cp:lastPrinted>
  <dcterms:created xsi:type="dcterms:W3CDTF">2020-07-03T14:51:00Z</dcterms:created>
  <dcterms:modified xsi:type="dcterms:W3CDTF">2020-07-03T14:51:00Z</dcterms:modified>
</cp:coreProperties>
</file>